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9BFE4" w14:textId="01F2EAFA" w:rsidR="008D1007" w:rsidRPr="001148DD" w:rsidRDefault="00F66E2B" w:rsidP="00DC0207">
      <w:pPr>
        <w:jc w:val="center"/>
        <w:rPr>
          <w:rFonts w:ascii="Arial" w:hAnsi="Arial" w:cs="Arial"/>
          <w:b/>
          <w:bCs/>
          <w:u w:val="single"/>
        </w:rPr>
      </w:pPr>
      <w:r w:rsidRPr="001148DD">
        <w:rPr>
          <w:rFonts w:ascii="Arial" w:hAnsi="Arial" w:cs="Arial"/>
          <w:b/>
          <w:bCs/>
          <w:u w:val="single"/>
        </w:rPr>
        <w:t>Clerks Report 27.10.21</w:t>
      </w:r>
    </w:p>
    <w:p w14:paraId="5F2D3A3B" w14:textId="651FD93A" w:rsidR="00F66E2B" w:rsidRPr="00DC0207" w:rsidRDefault="00F66E2B">
      <w:pPr>
        <w:rPr>
          <w:rFonts w:ascii="Arial" w:hAnsi="Arial" w:cs="Arial"/>
        </w:rPr>
      </w:pPr>
    </w:p>
    <w:p w14:paraId="11DD7737" w14:textId="38702548" w:rsidR="00F66E2B" w:rsidRPr="001148DD" w:rsidRDefault="00F66E2B">
      <w:pPr>
        <w:rPr>
          <w:rFonts w:ascii="Arial" w:hAnsi="Arial" w:cs="Arial"/>
          <w:b/>
          <w:bCs/>
          <w:u w:val="single"/>
        </w:rPr>
      </w:pPr>
      <w:r w:rsidRPr="001148DD">
        <w:rPr>
          <w:rFonts w:ascii="Arial" w:hAnsi="Arial" w:cs="Arial"/>
          <w:b/>
          <w:bCs/>
          <w:u w:val="single"/>
        </w:rPr>
        <w:t>Item 10 – Clerks Report</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66E2B" w:rsidRPr="00F66E2B" w14:paraId="111BB408" w14:textId="77777777" w:rsidTr="00BB3208">
        <w:tc>
          <w:tcPr>
            <w:tcW w:w="9356" w:type="dxa"/>
            <w:shd w:val="clear" w:color="auto" w:fill="auto"/>
          </w:tcPr>
          <w:p w14:paraId="65DC499E" w14:textId="77777777" w:rsidR="00F66E2B" w:rsidRPr="00F66E2B" w:rsidRDefault="00F66E2B" w:rsidP="00F66E2B">
            <w:pPr>
              <w:spacing w:after="0" w:line="240" w:lineRule="auto"/>
              <w:ind w:left="720" w:hanging="720"/>
              <w:outlineLvl w:val="2"/>
              <w:rPr>
                <w:rFonts w:ascii="Arial" w:eastAsia="Times New Roman" w:hAnsi="Arial" w:cs="Arial"/>
                <w:sz w:val="24"/>
                <w:szCs w:val="24"/>
              </w:rPr>
            </w:pPr>
            <w:r w:rsidRPr="00F66E2B">
              <w:rPr>
                <w:rFonts w:ascii="Arial" w:eastAsia="Times New Roman" w:hAnsi="Arial" w:cs="Arial"/>
                <w:sz w:val="24"/>
                <w:szCs w:val="24"/>
              </w:rPr>
              <w:t>Clerks Report</w:t>
            </w:r>
          </w:p>
          <w:tbl>
            <w:tblPr>
              <w:tblStyle w:val="TableGrid"/>
              <w:tblW w:w="0" w:type="auto"/>
              <w:tblLook w:val="04A0" w:firstRow="1" w:lastRow="0" w:firstColumn="1" w:lastColumn="0" w:noHBand="0" w:noVBand="1"/>
            </w:tblPr>
            <w:tblGrid>
              <w:gridCol w:w="6407"/>
              <w:gridCol w:w="1209"/>
              <w:gridCol w:w="1457"/>
            </w:tblGrid>
            <w:tr w:rsidR="00F66E2B" w:rsidRPr="00F66E2B" w14:paraId="7339FC92" w14:textId="77777777" w:rsidTr="00BB3208">
              <w:tc>
                <w:tcPr>
                  <w:tcW w:w="6407" w:type="dxa"/>
                </w:tcPr>
                <w:p w14:paraId="4F01282F" w14:textId="77777777" w:rsidR="00F66E2B" w:rsidRPr="00F66E2B" w:rsidRDefault="00F66E2B" w:rsidP="00F66E2B">
                  <w:pPr>
                    <w:rPr>
                      <w:rFonts w:ascii="Arial" w:eastAsia="Times New Roman" w:hAnsi="Arial" w:cs="Arial"/>
                      <w:sz w:val="24"/>
                      <w:szCs w:val="24"/>
                    </w:rPr>
                  </w:pPr>
                  <w:r w:rsidRPr="00F66E2B">
                    <w:rPr>
                      <w:rFonts w:ascii="Arial" w:eastAsia="Times New Roman" w:hAnsi="Arial" w:cs="Arial"/>
                      <w:sz w:val="24"/>
                      <w:szCs w:val="24"/>
                    </w:rPr>
                    <w:t>Item</w:t>
                  </w:r>
                </w:p>
              </w:tc>
              <w:tc>
                <w:tcPr>
                  <w:tcW w:w="1209" w:type="dxa"/>
                </w:tcPr>
                <w:p w14:paraId="7A6F8197" w14:textId="77777777" w:rsidR="00F66E2B" w:rsidRPr="00F66E2B" w:rsidRDefault="00F66E2B" w:rsidP="00F66E2B">
                  <w:pPr>
                    <w:rPr>
                      <w:rFonts w:ascii="Arial" w:eastAsia="Times New Roman" w:hAnsi="Arial" w:cs="Arial"/>
                      <w:sz w:val="24"/>
                      <w:szCs w:val="24"/>
                    </w:rPr>
                  </w:pPr>
                  <w:r w:rsidRPr="00F66E2B">
                    <w:rPr>
                      <w:rFonts w:ascii="Arial" w:eastAsia="Times New Roman" w:hAnsi="Arial" w:cs="Arial"/>
                      <w:sz w:val="24"/>
                      <w:szCs w:val="24"/>
                    </w:rPr>
                    <w:t>Date</w:t>
                  </w:r>
                </w:p>
              </w:tc>
              <w:tc>
                <w:tcPr>
                  <w:tcW w:w="1457" w:type="dxa"/>
                </w:tcPr>
                <w:p w14:paraId="22CB7AFD" w14:textId="77777777" w:rsidR="00F66E2B" w:rsidRPr="00F66E2B" w:rsidRDefault="00F66E2B" w:rsidP="00F66E2B">
                  <w:pPr>
                    <w:rPr>
                      <w:rFonts w:ascii="Arial" w:eastAsia="Times New Roman" w:hAnsi="Arial" w:cs="Arial"/>
                      <w:sz w:val="24"/>
                      <w:szCs w:val="24"/>
                    </w:rPr>
                  </w:pPr>
                  <w:r w:rsidRPr="00F66E2B">
                    <w:rPr>
                      <w:rFonts w:ascii="Arial" w:eastAsia="Times New Roman" w:hAnsi="Arial" w:cs="Arial"/>
                      <w:sz w:val="24"/>
                      <w:szCs w:val="24"/>
                    </w:rPr>
                    <w:t>Action</w:t>
                  </w:r>
                </w:p>
              </w:tc>
            </w:tr>
            <w:tr w:rsidR="00F66E2B" w:rsidRPr="00F66E2B" w14:paraId="3B01A757" w14:textId="77777777" w:rsidTr="00BB3208">
              <w:tc>
                <w:tcPr>
                  <w:tcW w:w="6407" w:type="dxa"/>
                </w:tcPr>
                <w:p w14:paraId="129B63E1" w14:textId="77777777" w:rsidR="00F66E2B" w:rsidRPr="00F66E2B" w:rsidRDefault="00F66E2B" w:rsidP="00F66E2B">
                  <w:pPr>
                    <w:rPr>
                      <w:rFonts w:ascii="Arial" w:eastAsia="Times New Roman" w:hAnsi="Arial" w:cs="Arial"/>
                    </w:rPr>
                  </w:pPr>
                  <w:r w:rsidRPr="00F66E2B">
                    <w:rPr>
                      <w:rFonts w:ascii="Arial" w:eastAsia="Times New Roman" w:hAnsi="Arial" w:cs="Arial"/>
                    </w:rPr>
                    <w:t xml:space="preserve">Severn Trent and </w:t>
                  </w:r>
                  <w:proofErr w:type="spellStart"/>
                  <w:r w:rsidRPr="00F66E2B">
                    <w:rPr>
                      <w:rFonts w:ascii="Arial" w:eastAsia="Times New Roman" w:hAnsi="Arial" w:cs="Arial"/>
                    </w:rPr>
                    <w:t>Cotwalton</w:t>
                  </w:r>
                  <w:proofErr w:type="spellEnd"/>
                  <w:r w:rsidRPr="00F66E2B">
                    <w:rPr>
                      <w:rFonts w:ascii="Arial" w:eastAsia="Times New Roman" w:hAnsi="Arial" w:cs="Arial"/>
                    </w:rPr>
                    <w:t xml:space="preserve"> Junction to B5066 ref: 4181743 &amp; 4237100 </w:t>
                  </w:r>
                </w:p>
                <w:p w14:paraId="6E536582" w14:textId="77777777" w:rsidR="00F66E2B" w:rsidRPr="00F66E2B" w:rsidRDefault="00F66E2B" w:rsidP="00F66E2B">
                  <w:pPr>
                    <w:rPr>
                      <w:rFonts w:ascii="Arial" w:eastAsia="Times New Roman" w:hAnsi="Arial" w:cs="Arial"/>
                    </w:rPr>
                  </w:pPr>
                  <w:r w:rsidRPr="00F66E2B">
                    <w:rPr>
                      <w:rFonts w:ascii="Arial" w:eastAsia="Times New Roman" w:hAnsi="Arial" w:cs="Arial"/>
                    </w:rPr>
                    <w:t>Missing bollards.</w:t>
                  </w:r>
                </w:p>
              </w:tc>
              <w:tc>
                <w:tcPr>
                  <w:tcW w:w="1209" w:type="dxa"/>
                </w:tcPr>
                <w:p w14:paraId="106A23F7" w14:textId="77777777" w:rsidR="00F66E2B" w:rsidRPr="00F66E2B" w:rsidRDefault="00F66E2B" w:rsidP="00F66E2B">
                  <w:pPr>
                    <w:rPr>
                      <w:rFonts w:ascii="Arial" w:eastAsia="Times New Roman" w:hAnsi="Arial" w:cs="Arial"/>
                    </w:rPr>
                  </w:pPr>
                  <w:r w:rsidRPr="00F66E2B">
                    <w:rPr>
                      <w:rFonts w:ascii="Arial" w:eastAsia="Times New Roman" w:hAnsi="Arial" w:cs="Arial"/>
                    </w:rPr>
                    <w:t>18.12.20</w:t>
                  </w:r>
                </w:p>
              </w:tc>
              <w:tc>
                <w:tcPr>
                  <w:tcW w:w="1457" w:type="dxa"/>
                </w:tcPr>
                <w:p w14:paraId="52F27865" w14:textId="77777777" w:rsidR="00F66E2B" w:rsidRPr="00F66E2B" w:rsidRDefault="00F66E2B" w:rsidP="00F66E2B">
                  <w:pPr>
                    <w:rPr>
                      <w:rFonts w:ascii="Arial" w:eastAsia="Times New Roman" w:hAnsi="Arial" w:cs="Arial"/>
                    </w:rPr>
                  </w:pPr>
                  <w:r w:rsidRPr="00F66E2B">
                    <w:rPr>
                      <w:rFonts w:ascii="Arial" w:eastAsia="Times New Roman" w:hAnsi="Arial" w:cs="Arial"/>
                    </w:rPr>
                    <w:t>Monitor</w:t>
                  </w:r>
                </w:p>
              </w:tc>
            </w:tr>
            <w:tr w:rsidR="00F66E2B" w:rsidRPr="00F66E2B" w14:paraId="0414736D" w14:textId="77777777" w:rsidTr="00BB3208">
              <w:tc>
                <w:tcPr>
                  <w:tcW w:w="6407" w:type="dxa"/>
                </w:tcPr>
                <w:p w14:paraId="497D769E" w14:textId="7D102AFB" w:rsidR="00F66E2B" w:rsidRPr="00F66E2B" w:rsidRDefault="00F66E2B" w:rsidP="00F66E2B">
                  <w:pPr>
                    <w:rPr>
                      <w:rFonts w:ascii="Arial" w:eastAsia="Times New Roman" w:hAnsi="Arial" w:cs="Arial"/>
                    </w:rPr>
                  </w:pPr>
                  <w:r w:rsidRPr="00F66E2B">
                    <w:rPr>
                      <w:rFonts w:ascii="Arial" w:eastAsia="Times New Roman" w:hAnsi="Arial" w:cs="Arial"/>
                    </w:rPr>
                    <w:t xml:space="preserve">SIDS – </w:t>
                  </w:r>
                  <w:r w:rsidRPr="00DC0207">
                    <w:rPr>
                      <w:rFonts w:ascii="Arial" w:eastAsia="Times New Roman" w:hAnsi="Arial" w:cs="Arial"/>
                    </w:rPr>
                    <w:t>Installation w/c 18.10.21</w:t>
                  </w:r>
                </w:p>
              </w:tc>
              <w:tc>
                <w:tcPr>
                  <w:tcW w:w="1209" w:type="dxa"/>
                </w:tcPr>
                <w:p w14:paraId="6D3C6636" w14:textId="77777777" w:rsidR="00F66E2B" w:rsidRPr="00F66E2B" w:rsidRDefault="00F66E2B" w:rsidP="00F66E2B">
                  <w:pPr>
                    <w:rPr>
                      <w:rFonts w:ascii="Arial" w:eastAsia="Times New Roman" w:hAnsi="Arial" w:cs="Arial"/>
                    </w:rPr>
                  </w:pPr>
                  <w:r w:rsidRPr="00F66E2B">
                    <w:rPr>
                      <w:rFonts w:ascii="Arial" w:eastAsia="Times New Roman" w:hAnsi="Arial" w:cs="Arial"/>
                    </w:rPr>
                    <w:t>26.01.21</w:t>
                  </w:r>
                </w:p>
              </w:tc>
              <w:tc>
                <w:tcPr>
                  <w:tcW w:w="1457" w:type="dxa"/>
                </w:tcPr>
                <w:p w14:paraId="412A0527" w14:textId="77777777" w:rsidR="00F66E2B" w:rsidRPr="00F66E2B" w:rsidRDefault="00F66E2B" w:rsidP="00F66E2B">
                  <w:pPr>
                    <w:rPr>
                      <w:rFonts w:ascii="Arial" w:eastAsia="Times New Roman" w:hAnsi="Arial" w:cs="Arial"/>
                    </w:rPr>
                  </w:pPr>
                  <w:r w:rsidRPr="00F66E2B">
                    <w:rPr>
                      <w:rFonts w:ascii="Arial" w:eastAsia="Times New Roman" w:hAnsi="Arial" w:cs="Arial"/>
                    </w:rPr>
                    <w:t>Clerk to Monitor</w:t>
                  </w:r>
                </w:p>
              </w:tc>
            </w:tr>
            <w:tr w:rsidR="00F66E2B" w:rsidRPr="00F66E2B" w14:paraId="7A31C3A8" w14:textId="77777777" w:rsidTr="00BB3208">
              <w:tc>
                <w:tcPr>
                  <w:tcW w:w="6407" w:type="dxa"/>
                </w:tcPr>
                <w:p w14:paraId="63735350" w14:textId="77777777" w:rsidR="00F66E2B" w:rsidRPr="00F66E2B" w:rsidRDefault="00F66E2B" w:rsidP="00F66E2B">
                  <w:pPr>
                    <w:rPr>
                      <w:rFonts w:ascii="Arial" w:eastAsia="Times New Roman" w:hAnsi="Arial" w:cs="Arial"/>
                    </w:rPr>
                  </w:pPr>
                  <w:r w:rsidRPr="00F66E2B">
                    <w:rPr>
                      <w:rFonts w:ascii="Arial" w:eastAsia="Times New Roman" w:hAnsi="Arial" w:cs="Arial"/>
                    </w:rPr>
                    <w:t>Queens 70</w:t>
                  </w:r>
                  <w:r w:rsidRPr="00F66E2B">
                    <w:rPr>
                      <w:rFonts w:ascii="Arial" w:eastAsia="Times New Roman" w:hAnsi="Arial" w:cs="Arial"/>
                      <w:vertAlign w:val="superscript"/>
                    </w:rPr>
                    <w:t>th</w:t>
                  </w:r>
                  <w:r w:rsidRPr="00F66E2B">
                    <w:rPr>
                      <w:rFonts w:ascii="Arial" w:eastAsia="Times New Roman" w:hAnsi="Arial" w:cs="Arial"/>
                    </w:rPr>
                    <w:t xml:space="preserve"> anniversary – Approved to purchase to cherry trees and a plaque the same as the 60</w:t>
                  </w:r>
                  <w:r w:rsidRPr="00F66E2B">
                    <w:rPr>
                      <w:rFonts w:ascii="Arial" w:eastAsia="Times New Roman" w:hAnsi="Arial" w:cs="Arial"/>
                      <w:vertAlign w:val="superscript"/>
                    </w:rPr>
                    <w:t>th</w:t>
                  </w:r>
                  <w:r w:rsidRPr="00F66E2B">
                    <w:rPr>
                      <w:rFonts w:ascii="Arial" w:eastAsia="Times New Roman" w:hAnsi="Arial" w:cs="Arial"/>
                    </w:rPr>
                    <w:t xml:space="preserve"> anniversary.</w:t>
                  </w:r>
                </w:p>
              </w:tc>
              <w:tc>
                <w:tcPr>
                  <w:tcW w:w="1209" w:type="dxa"/>
                </w:tcPr>
                <w:p w14:paraId="5A500AA3" w14:textId="77777777" w:rsidR="00F66E2B" w:rsidRPr="00F66E2B" w:rsidRDefault="00F66E2B" w:rsidP="00F66E2B">
                  <w:pPr>
                    <w:rPr>
                      <w:rFonts w:ascii="Arial" w:eastAsia="Times New Roman" w:hAnsi="Arial" w:cs="Arial"/>
                    </w:rPr>
                  </w:pPr>
                  <w:r w:rsidRPr="00F66E2B">
                    <w:rPr>
                      <w:rFonts w:ascii="Arial" w:eastAsia="Times New Roman" w:hAnsi="Arial" w:cs="Arial"/>
                    </w:rPr>
                    <w:t>26.05.21</w:t>
                  </w:r>
                </w:p>
              </w:tc>
              <w:tc>
                <w:tcPr>
                  <w:tcW w:w="1457" w:type="dxa"/>
                </w:tcPr>
                <w:p w14:paraId="4BB5029B" w14:textId="77777777" w:rsidR="00F66E2B" w:rsidRPr="00F66E2B" w:rsidRDefault="00F66E2B" w:rsidP="00F66E2B">
                  <w:pPr>
                    <w:rPr>
                      <w:rFonts w:ascii="Arial" w:eastAsia="Times New Roman" w:hAnsi="Arial" w:cs="Arial"/>
                    </w:rPr>
                  </w:pPr>
                  <w:r w:rsidRPr="00F66E2B">
                    <w:rPr>
                      <w:rFonts w:ascii="Arial" w:eastAsia="Times New Roman" w:hAnsi="Arial" w:cs="Arial"/>
                    </w:rPr>
                    <w:t>Clerk in 2022</w:t>
                  </w:r>
                </w:p>
              </w:tc>
            </w:tr>
            <w:tr w:rsidR="00F66E2B" w:rsidRPr="00F66E2B" w14:paraId="1145F1D9" w14:textId="77777777" w:rsidTr="00BB3208">
              <w:tc>
                <w:tcPr>
                  <w:tcW w:w="6407" w:type="dxa"/>
                </w:tcPr>
                <w:p w14:paraId="622BEB95" w14:textId="77777777" w:rsidR="00F66E2B" w:rsidRPr="00F66E2B" w:rsidRDefault="00F66E2B" w:rsidP="00F66E2B">
                  <w:pPr>
                    <w:rPr>
                      <w:rFonts w:ascii="Arial" w:eastAsia="Times New Roman" w:hAnsi="Arial" w:cs="Arial"/>
                    </w:rPr>
                  </w:pPr>
                  <w:r w:rsidRPr="00F66E2B">
                    <w:rPr>
                      <w:rFonts w:ascii="Arial" w:eastAsia="Times New Roman" w:hAnsi="Arial" w:cs="Arial"/>
                    </w:rPr>
                    <w:t>Hedge cutting – Farm Lea, letters have been sent to all the residents</w:t>
                  </w:r>
                </w:p>
              </w:tc>
              <w:tc>
                <w:tcPr>
                  <w:tcW w:w="1209" w:type="dxa"/>
                </w:tcPr>
                <w:p w14:paraId="49F98E2B" w14:textId="77777777" w:rsidR="00F66E2B" w:rsidRPr="00F66E2B" w:rsidRDefault="00F66E2B" w:rsidP="00F66E2B">
                  <w:pPr>
                    <w:rPr>
                      <w:rFonts w:ascii="Arial" w:eastAsia="Times New Roman" w:hAnsi="Arial" w:cs="Arial"/>
                    </w:rPr>
                  </w:pPr>
                  <w:r w:rsidRPr="00F66E2B">
                    <w:rPr>
                      <w:rFonts w:ascii="Arial" w:eastAsia="Times New Roman" w:hAnsi="Arial" w:cs="Arial"/>
                    </w:rPr>
                    <w:t>02.02.21</w:t>
                  </w:r>
                </w:p>
              </w:tc>
              <w:tc>
                <w:tcPr>
                  <w:tcW w:w="1457" w:type="dxa"/>
                </w:tcPr>
                <w:p w14:paraId="05CFD5B3" w14:textId="77777777" w:rsidR="00F66E2B" w:rsidRPr="00F66E2B" w:rsidRDefault="00F66E2B" w:rsidP="00F66E2B">
                  <w:pPr>
                    <w:rPr>
                      <w:rFonts w:ascii="Arial" w:eastAsia="Times New Roman" w:hAnsi="Arial" w:cs="Arial"/>
                    </w:rPr>
                  </w:pPr>
                  <w:r w:rsidRPr="00F66E2B">
                    <w:rPr>
                      <w:rFonts w:ascii="Arial" w:eastAsia="Times New Roman" w:hAnsi="Arial" w:cs="Arial"/>
                    </w:rPr>
                    <w:t>Monitor</w:t>
                  </w:r>
                </w:p>
              </w:tc>
            </w:tr>
            <w:tr w:rsidR="00F66E2B" w:rsidRPr="00F66E2B" w14:paraId="068F64DC" w14:textId="77777777" w:rsidTr="00BB3208">
              <w:tc>
                <w:tcPr>
                  <w:tcW w:w="6407" w:type="dxa"/>
                </w:tcPr>
                <w:p w14:paraId="52E41498" w14:textId="0ADF31BC" w:rsidR="00F66E2B" w:rsidRPr="00F66E2B" w:rsidRDefault="00F66E2B" w:rsidP="00F66E2B">
                  <w:pPr>
                    <w:rPr>
                      <w:rFonts w:ascii="Arial" w:eastAsia="Times New Roman" w:hAnsi="Arial" w:cs="Arial"/>
                    </w:rPr>
                  </w:pPr>
                  <w:r w:rsidRPr="00F66E2B">
                    <w:rPr>
                      <w:rFonts w:ascii="Arial" w:eastAsia="Times New Roman" w:hAnsi="Arial" w:cs="Arial"/>
                    </w:rPr>
                    <w:t>Hedge cutting – 2 Farm Lea, pictures have been taken and sent to Stafford Rural Homes to investigate.</w:t>
                  </w:r>
                  <w:r w:rsidR="00631AC2" w:rsidRPr="00DC0207">
                    <w:rPr>
                      <w:rFonts w:ascii="Arial" w:eastAsia="Times New Roman" w:hAnsi="Arial" w:cs="Arial"/>
                    </w:rPr>
                    <w:t xml:space="preserve"> – Chased with Stafford rural homes on 29.09.21 - no update </w:t>
                  </w:r>
                  <w:proofErr w:type="gramStart"/>
                  <w:r w:rsidR="00631AC2" w:rsidRPr="00DC0207">
                    <w:rPr>
                      <w:rFonts w:ascii="Arial" w:eastAsia="Times New Roman" w:hAnsi="Arial" w:cs="Arial"/>
                    </w:rPr>
                    <w:t>as yet</w:t>
                  </w:r>
                  <w:proofErr w:type="gramEnd"/>
                  <w:r w:rsidR="00631AC2" w:rsidRPr="00DC0207">
                    <w:rPr>
                      <w:rFonts w:ascii="Arial" w:eastAsia="Times New Roman" w:hAnsi="Arial" w:cs="Arial"/>
                    </w:rPr>
                    <w:t>.</w:t>
                  </w:r>
                </w:p>
              </w:tc>
              <w:tc>
                <w:tcPr>
                  <w:tcW w:w="1209" w:type="dxa"/>
                </w:tcPr>
                <w:p w14:paraId="12F6E908" w14:textId="77777777" w:rsidR="00F66E2B" w:rsidRPr="00F66E2B" w:rsidRDefault="00F66E2B" w:rsidP="00F66E2B">
                  <w:pPr>
                    <w:rPr>
                      <w:rFonts w:ascii="Arial" w:eastAsia="Times New Roman" w:hAnsi="Arial" w:cs="Arial"/>
                    </w:rPr>
                  </w:pPr>
                  <w:r w:rsidRPr="00F66E2B">
                    <w:rPr>
                      <w:rFonts w:ascii="Arial" w:eastAsia="Times New Roman" w:hAnsi="Arial" w:cs="Arial"/>
                    </w:rPr>
                    <w:t>02.02.21</w:t>
                  </w:r>
                </w:p>
              </w:tc>
              <w:tc>
                <w:tcPr>
                  <w:tcW w:w="1457" w:type="dxa"/>
                </w:tcPr>
                <w:p w14:paraId="25569B45" w14:textId="33DA1226" w:rsidR="00F66E2B" w:rsidRPr="00F66E2B" w:rsidRDefault="00F66E2B" w:rsidP="00F66E2B">
                  <w:pPr>
                    <w:rPr>
                      <w:rFonts w:ascii="Arial" w:eastAsia="Times New Roman" w:hAnsi="Arial" w:cs="Arial"/>
                    </w:rPr>
                  </w:pPr>
                  <w:r w:rsidRPr="00F66E2B">
                    <w:rPr>
                      <w:rFonts w:ascii="Arial" w:eastAsia="Times New Roman" w:hAnsi="Arial" w:cs="Arial"/>
                    </w:rPr>
                    <w:t>Clerk</w:t>
                  </w:r>
                </w:p>
              </w:tc>
            </w:tr>
            <w:tr w:rsidR="00F66E2B" w:rsidRPr="00F66E2B" w14:paraId="1A26317D" w14:textId="77777777" w:rsidTr="00BB3208">
              <w:tc>
                <w:tcPr>
                  <w:tcW w:w="6407" w:type="dxa"/>
                </w:tcPr>
                <w:p w14:paraId="119F6590" w14:textId="77777777" w:rsidR="00F66E2B" w:rsidRPr="00F66E2B" w:rsidRDefault="00F66E2B" w:rsidP="00F66E2B">
                  <w:pPr>
                    <w:rPr>
                      <w:rFonts w:ascii="Arial" w:eastAsia="Times New Roman" w:hAnsi="Arial" w:cs="Arial"/>
                    </w:rPr>
                  </w:pPr>
                  <w:r w:rsidRPr="00F66E2B">
                    <w:rPr>
                      <w:rFonts w:ascii="Arial" w:eastAsia="Times New Roman" w:hAnsi="Arial" w:cs="Arial"/>
                    </w:rPr>
                    <w:t>Two trees cut down by contractors.</w:t>
                  </w:r>
                </w:p>
                <w:p w14:paraId="2B080E25" w14:textId="2385311C" w:rsidR="00F66E2B" w:rsidRPr="00F66E2B" w:rsidRDefault="00F66E2B" w:rsidP="00F66E2B">
                  <w:pPr>
                    <w:rPr>
                      <w:rFonts w:ascii="Arial" w:eastAsia="Times New Roman" w:hAnsi="Arial" w:cs="Arial"/>
                    </w:rPr>
                  </w:pPr>
                  <w:r w:rsidRPr="00DC0207">
                    <w:rPr>
                      <w:rFonts w:ascii="Arial" w:eastAsia="Times New Roman" w:hAnsi="Arial" w:cs="Arial"/>
                    </w:rPr>
                    <w:t xml:space="preserve">Contract has been cancelled and works passed over to our new contractors TGM </w:t>
                  </w:r>
                </w:p>
              </w:tc>
              <w:tc>
                <w:tcPr>
                  <w:tcW w:w="1209" w:type="dxa"/>
                </w:tcPr>
                <w:p w14:paraId="6F136A32" w14:textId="77777777" w:rsidR="00F66E2B" w:rsidRPr="00F66E2B" w:rsidRDefault="00F66E2B" w:rsidP="00F66E2B">
                  <w:pPr>
                    <w:rPr>
                      <w:rFonts w:ascii="Arial" w:eastAsia="Times New Roman" w:hAnsi="Arial" w:cs="Arial"/>
                    </w:rPr>
                  </w:pPr>
                </w:p>
              </w:tc>
              <w:tc>
                <w:tcPr>
                  <w:tcW w:w="1457" w:type="dxa"/>
                </w:tcPr>
                <w:p w14:paraId="56DDE850" w14:textId="54DC53BC" w:rsidR="00F66E2B" w:rsidRPr="00F66E2B" w:rsidRDefault="00F66E2B" w:rsidP="00F66E2B">
                  <w:pPr>
                    <w:rPr>
                      <w:rFonts w:ascii="Arial" w:eastAsia="Times New Roman" w:hAnsi="Arial" w:cs="Arial"/>
                    </w:rPr>
                  </w:pPr>
                  <w:r w:rsidRPr="00F66E2B">
                    <w:rPr>
                      <w:rFonts w:ascii="Arial" w:eastAsia="Times New Roman" w:hAnsi="Arial" w:cs="Arial"/>
                    </w:rPr>
                    <w:t>Clerk</w:t>
                  </w:r>
                </w:p>
              </w:tc>
            </w:tr>
            <w:tr w:rsidR="00F66E2B" w:rsidRPr="00F66E2B" w14:paraId="5C6B05A8" w14:textId="77777777" w:rsidTr="00BB3208">
              <w:tc>
                <w:tcPr>
                  <w:tcW w:w="6407" w:type="dxa"/>
                </w:tcPr>
                <w:p w14:paraId="46453584" w14:textId="77777777" w:rsidR="00F66E2B" w:rsidRPr="00F66E2B" w:rsidRDefault="00F66E2B" w:rsidP="00F66E2B">
                  <w:pPr>
                    <w:rPr>
                      <w:rFonts w:ascii="Arial" w:eastAsia="Times New Roman" w:hAnsi="Arial" w:cs="Arial"/>
                    </w:rPr>
                  </w:pPr>
                  <w:proofErr w:type="spellStart"/>
                  <w:r w:rsidRPr="00F66E2B">
                    <w:rPr>
                      <w:rFonts w:ascii="Arial" w:eastAsia="Times New Roman" w:hAnsi="Arial" w:cs="Arial"/>
                    </w:rPr>
                    <w:t>Hilderstone</w:t>
                  </w:r>
                  <w:proofErr w:type="spellEnd"/>
                  <w:r w:rsidRPr="00F66E2B">
                    <w:rPr>
                      <w:rFonts w:ascii="Arial" w:eastAsia="Times New Roman" w:hAnsi="Arial" w:cs="Arial"/>
                    </w:rPr>
                    <w:t xml:space="preserve"> Walkway / Trees</w:t>
                  </w:r>
                </w:p>
                <w:p w14:paraId="249C7A32" w14:textId="77777777" w:rsidR="00631AC2" w:rsidRPr="00DC0207" w:rsidRDefault="00F66E2B" w:rsidP="00631AC2">
                  <w:pPr>
                    <w:pStyle w:val="v1msonormal"/>
                    <w:shd w:val="clear" w:color="auto" w:fill="FFFFFF"/>
                    <w:spacing w:before="0" w:beforeAutospacing="0" w:after="0" w:afterAutospacing="0"/>
                    <w:rPr>
                      <w:rFonts w:ascii="Arial" w:hAnsi="Arial" w:cs="Arial"/>
                      <w:color w:val="333333"/>
                      <w:sz w:val="22"/>
                      <w:szCs w:val="22"/>
                    </w:rPr>
                  </w:pPr>
                  <w:r w:rsidRPr="00F66E2B">
                    <w:rPr>
                      <w:rFonts w:ascii="Arial" w:hAnsi="Arial" w:cs="Arial"/>
                      <w:sz w:val="22"/>
                      <w:szCs w:val="22"/>
                    </w:rPr>
                    <w:t>Site has been identifie</w:t>
                  </w:r>
                  <w:r w:rsidR="00631AC2" w:rsidRPr="00DC0207">
                    <w:rPr>
                      <w:rFonts w:ascii="Arial" w:hAnsi="Arial" w:cs="Arial"/>
                      <w:sz w:val="22"/>
                      <w:szCs w:val="22"/>
                    </w:rPr>
                    <w:t>d – plot of land Dingle Lane – email received from Highways. “</w:t>
                  </w:r>
                  <w:r w:rsidR="00631AC2" w:rsidRPr="00DC0207">
                    <w:rPr>
                      <w:rFonts w:ascii="Arial" w:hAnsi="Arial" w:cs="Arial"/>
                      <w:color w:val="333333"/>
                      <w:sz w:val="22"/>
                      <w:szCs w:val="22"/>
                    </w:rPr>
                    <w:t>The area you have circled blue does appear to take in part of the highway maintainable at public expense.</w:t>
                  </w:r>
                </w:p>
                <w:p w14:paraId="2208A7FB" w14:textId="77777777" w:rsidR="00631AC2" w:rsidRPr="00DC0207" w:rsidRDefault="00631AC2" w:rsidP="00631AC2">
                  <w:pPr>
                    <w:pStyle w:val="v1msonormal"/>
                    <w:shd w:val="clear" w:color="auto" w:fill="FFFFFF"/>
                    <w:spacing w:before="0" w:beforeAutospacing="0" w:after="0" w:afterAutospacing="0"/>
                    <w:rPr>
                      <w:rFonts w:ascii="Arial" w:hAnsi="Arial" w:cs="Arial"/>
                      <w:color w:val="333333"/>
                      <w:sz w:val="22"/>
                      <w:szCs w:val="22"/>
                    </w:rPr>
                  </w:pPr>
                  <w:r w:rsidRPr="00DC0207">
                    <w:rPr>
                      <w:rFonts w:ascii="Arial" w:hAnsi="Arial" w:cs="Arial"/>
                      <w:color w:val="333333"/>
                      <w:sz w:val="22"/>
                      <w:szCs w:val="22"/>
                    </w:rPr>
                    <w:t> </w:t>
                  </w:r>
                </w:p>
                <w:p w14:paraId="41211D87" w14:textId="77777777" w:rsidR="00631AC2" w:rsidRPr="00DC0207" w:rsidRDefault="00631AC2" w:rsidP="00631AC2">
                  <w:pPr>
                    <w:pStyle w:val="v1msonormal"/>
                    <w:shd w:val="clear" w:color="auto" w:fill="FFFFFF"/>
                    <w:spacing w:before="0" w:beforeAutospacing="0" w:after="0" w:afterAutospacing="0"/>
                    <w:rPr>
                      <w:rFonts w:ascii="Arial" w:hAnsi="Arial" w:cs="Arial"/>
                      <w:color w:val="333333"/>
                      <w:sz w:val="22"/>
                      <w:szCs w:val="22"/>
                    </w:rPr>
                  </w:pPr>
                  <w:r w:rsidRPr="00DC0207">
                    <w:rPr>
                      <w:rFonts w:ascii="Arial" w:hAnsi="Arial" w:cs="Arial"/>
                      <w:color w:val="333333"/>
                      <w:sz w:val="22"/>
                      <w:szCs w:val="22"/>
                    </w:rPr>
                    <w:t>The area edged blue fronting property The Hollies does not form part of the highway maintainable at public expense and we do not hold information regarding ownership on third party land.</w:t>
                  </w:r>
                </w:p>
                <w:p w14:paraId="2E76999D" w14:textId="77777777" w:rsidR="00631AC2" w:rsidRPr="00DC0207" w:rsidRDefault="00631AC2" w:rsidP="00631AC2">
                  <w:pPr>
                    <w:pStyle w:val="v1msonormal"/>
                    <w:shd w:val="clear" w:color="auto" w:fill="FFFFFF"/>
                    <w:spacing w:before="0" w:beforeAutospacing="0" w:after="0" w:afterAutospacing="0"/>
                    <w:rPr>
                      <w:rFonts w:ascii="Arial" w:hAnsi="Arial" w:cs="Arial"/>
                      <w:color w:val="333333"/>
                      <w:sz w:val="22"/>
                      <w:szCs w:val="22"/>
                    </w:rPr>
                  </w:pPr>
                  <w:r w:rsidRPr="00DC0207">
                    <w:rPr>
                      <w:rFonts w:ascii="Arial" w:hAnsi="Arial" w:cs="Arial"/>
                      <w:color w:val="333333"/>
                      <w:sz w:val="22"/>
                      <w:szCs w:val="22"/>
                    </w:rPr>
                    <w:t> </w:t>
                  </w:r>
                </w:p>
                <w:p w14:paraId="2EF0489D" w14:textId="77777777" w:rsidR="00631AC2" w:rsidRPr="00DC0207" w:rsidRDefault="00631AC2" w:rsidP="00631AC2">
                  <w:pPr>
                    <w:pStyle w:val="v1msonormal"/>
                    <w:shd w:val="clear" w:color="auto" w:fill="FFFFFF"/>
                    <w:spacing w:before="0" w:beforeAutospacing="0" w:after="0" w:afterAutospacing="0"/>
                    <w:rPr>
                      <w:rFonts w:ascii="Arial" w:hAnsi="Arial" w:cs="Arial"/>
                      <w:color w:val="333333"/>
                      <w:sz w:val="22"/>
                      <w:szCs w:val="22"/>
                    </w:rPr>
                  </w:pPr>
                  <w:r w:rsidRPr="00DC0207">
                    <w:rPr>
                      <w:rFonts w:ascii="Arial" w:hAnsi="Arial" w:cs="Arial"/>
                      <w:color w:val="333333"/>
                      <w:sz w:val="22"/>
                      <w:szCs w:val="22"/>
                    </w:rPr>
                    <w:t xml:space="preserve">It may be beneficial to obtain a highway extent search </w:t>
                  </w:r>
                  <w:proofErr w:type="gramStart"/>
                  <w:r w:rsidRPr="00DC0207">
                    <w:rPr>
                      <w:rFonts w:ascii="Arial" w:hAnsi="Arial" w:cs="Arial"/>
                      <w:color w:val="333333"/>
                      <w:sz w:val="22"/>
                      <w:szCs w:val="22"/>
                    </w:rPr>
                    <w:t>plan</w:t>
                  </w:r>
                  <w:proofErr w:type="gramEnd"/>
                  <w:r w:rsidRPr="00DC0207">
                    <w:rPr>
                      <w:rFonts w:ascii="Arial" w:hAnsi="Arial" w:cs="Arial"/>
                      <w:color w:val="333333"/>
                      <w:sz w:val="22"/>
                      <w:szCs w:val="22"/>
                    </w:rPr>
                    <w:t xml:space="preserve"> so you are able to clearly identify the limits of responsibility that Staffordshire County Council have in this vicinity.</w:t>
                  </w:r>
                  <w:r w:rsidRPr="00DC0207">
                    <w:rPr>
                      <w:rFonts w:ascii="Arial" w:hAnsi="Arial" w:cs="Arial"/>
                      <w:color w:val="333333"/>
                      <w:sz w:val="22"/>
                      <w:szCs w:val="22"/>
                    </w:rPr>
                    <w:t xml:space="preserve">” </w:t>
                  </w:r>
                </w:p>
                <w:p w14:paraId="54E051C5" w14:textId="77777777" w:rsidR="00631AC2" w:rsidRPr="00DC0207" w:rsidRDefault="00631AC2" w:rsidP="00631AC2">
                  <w:pPr>
                    <w:pStyle w:val="v1msonormal"/>
                    <w:shd w:val="clear" w:color="auto" w:fill="FFFFFF"/>
                    <w:spacing w:before="0" w:beforeAutospacing="0" w:after="0" w:afterAutospacing="0"/>
                    <w:rPr>
                      <w:rFonts w:ascii="Arial" w:hAnsi="Arial" w:cs="Arial"/>
                      <w:color w:val="333333"/>
                      <w:sz w:val="22"/>
                      <w:szCs w:val="22"/>
                    </w:rPr>
                  </w:pPr>
                </w:p>
                <w:p w14:paraId="6822F021" w14:textId="531E84FA" w:rsidR="00F66E2B" w:rsidRPr="00F66E2B" w:rsidRDefault="00631AC2" w:rsidP="00631AC2">
                  <w:pPr>
                    <w:pStyle w:val="v1msonormal"/>
                    <w:shd w:val="clear" w:color="auto" w:fill="FFFFFF"/>
                    <w:spacing w:before="0" w:beforeAutospacing="0" w:after="0" w:afterAutospacing="0"/>
                    <w:rPr>
                      <w:rFonts w:ascii="Arial" w:hAnsi="Arial" w:cs="Arial"/>
                      <w:color w:val="333333"/>
                      <w:sz w:val="22"/>
                      <w:szCs w:val="22"/>
                    </w:rPr>
                  </w:pPr>
                  <w:r w:rsidRPr="00DC0207">
                    <w:rPr>
                      <w:rFonts w:ascii="Arial" w:hAnsi="Arial" w:cs="Arial"/>
                      <w:color w:val="333333"/>
                      <w:sz w:val="22"/>
                      <w:szCs w:val="22"/>
                    </w:rPr>
                    <w:t>There is a cost to obtain this, and I have emailed to ask them what it is.</w:t>
                  </w:r>
                </w:p>
              </w:tc>
              <w:tc>
                <w:tcPr>
                  <w:tcW w:w="1209" w:type="dxa"/>
                </w:tcPr>
                <w:p w14:paraId="1F630066" w14:textId="77777777" w:rsidR="00F66E2B" w:rsidRPr="00F66E2B" w:rsidRDefault="00F66E2B" w:rsidP="00F66E2B">
                  <w:pPr>
                    <w:rPr>
                      <w:rFonts w:ascii="Arial" w:eastAsia="Times New Roman" w:hAnsi="Arial" w:cs="Arial"/>
                    </w:rPr>
                  </w:pPr>
                </w:p>
              </w:tc>
              <w:tc>
                <w:tcPr>
                  <w:tcW w:w="1457" w:type="dxa"/>
                </w:tcPr>
                <w:p w14:paraId="34131DCD" w14:textId="77777777" w:rsidR="00F66E2B" w:rsidRPr="00F66E2B" w:rsidRDefault="00F66E2B" w:rsidP="00F66E2B">
                  <w:pPr>
                    <w:rPr>
                      <w:rFonts w:ascii="Arial" w:eastAsia="Times New Roman" w:hAnsi="Arial" w:cs="Arial"/>
                    </w:rPr>
                  </w:pPr>
                  <w:r w:rsidRPr="00F66E2B">
                    <w:rPr>
                      <w:rFonts w:ascii="Arial" w:eastAsia="Times New Roman" w:hAnsi="Arial" w:cs="Arial"/>
                    </w:rPr>
                    <w:t>Clerk</w:t>
                  </w:r>
                </w:p>
              </w:tc>
            </w:tr>
            <w:tr w:rsidR="00F66E2B" w:rsidRPr="00F66E2B" w14:paraId="422FA972" w14:textId="77777777" w:rsidTr="00BB3208">
              <w:tc>
                <w:tcPr>
                  <w:tcW w:w="6407" w:type="dxa"/>
                </w:tcPr>
                <w:p w14:paraId="10C4E31D" w14:textId="3ED28CB2" w:rsidR="00F66E2B" w:rsidRPr="00F66E2B" w:rsidRDefault="00F66E2B" w:rsidP="00F66E2B">
                  <w:pPr>
                    <w:rPr>
                      <w:rFonts w:ascii="Arial" w:eastAsia="Times New Roman" w:hAnsi="Arial" w:cs="Arial"/>
                    </w:rPr>
                  </w:pPr>
                  <w:r w:rsidRPr="00F66E2B">
                    <w:rPr>
                      <w:rFonts w:ascii="Arial" w:eastAsia="Times New Roman" w:hAnsi="Arial" w:cs="Arial"/>
                    </w:rPr>
                    <w:t xml:space="preserve">White lines – </w:t>
                  </w:r>
                  <w:proofErr w:type="spellStart"/>
                  <w:r w:rsidRPr="00F66E2B">
                    <w:rPr>
                      <w:rFonts w:ascii="Arial" w:eastAsia="Times New Roman" w:hAnsi="Arial" w:cs="Arial"/>
                    </w:rPr>
                    <w:t>Cotwalton</w:t>
                  </w:r>
                  <w:proofErr w:type="spellEnd"/>
                  <w:r w:rsidRPr="00F66E2B">
                    <w:rPr>
                      <w:rFonts w:ascii="Arial" w:eastAsia="Times New Roman" w:hAnsi="Arial" w:cs="Arial"/>
                    </w:rPr>
                    <w:t xml:space="preserve"> Junction to B5066 </w:t>
                  </w:r>
                  <w:r w:rsidR="00631AC2" w:rsidRPr="00DC0207">
                    <w:rPr>
                      <w:rFonts w:ascii="Arial" w:eastAsia="Times New Roman" w:hAnsi="Arial" w:cs="Arial"/>
                    </w:rPr>
                    <w:t>–</w:t>
                  </w:r>
                  <w:r w:rsidRPr="00F66E2B">
                    <w:rPr>
                      <w:rFonts w:ascii="Arial" w:eastAsia="Times New Roman" w:hAnsi="Arial" w:cs="Arial"/>
                    </w:rPr>
                    <w:t xml:space="preserve"> 4251576</w:t>
                  </w:r>
                  <w:r w:rsidR="00631AC2" w:rsidRPr="00DC0207">
                    <w:rPr>
                      <w:rFonts w:ascii="Arial" w:eastAsia="Times New Roman" w:hAnsi="Arial" w:cs="Arial"/>
                    </w:rPr>
                    <w:t xml:space="preserve"> – No further updates</w:t>
                  </w:r>
                </w:p>
              </w:tc>
              <w:tc>
                <w:tcPr>
                  <w:tcW w:w="1209" w:type="dxa"/>
                </w:tcPr>
                <w:p w14:paraId="6C498448" w14:textId="77777777" w:rsidR="00F66E2B" w:rsidRPr="00F66E2B" w:rsidRDefault="00F66E2B" w:rsidP="00F66E2B">
                  <w:pPr>
                    <w:rPr>
                      <w:rFonts w:ascii="Arial" w:eastAsia="Times New Roman" w:hAnsi="Arial" w:cs="Arial"/>
                    </w:rPr>
                  </w:pPr>
                  <w:r w:rsidRPr="00F66E2B">
                    <w:rPr>
                      <w:rFonts w:ascii="Arial" w:eastAsia="Times New Roman" w:hAnsi="Arial" w:cs="Arial"/>
                    </w:rPr>
                    <w:t>21.07.21</w:t>
                  </w:r>
                </w:p>
              </w:tc>
              <w:tc>
                <w:tcPr>
                  <w:tcW w:w="1457" w:type="dxa"/>
                </w:tcPr>
                <w:p w14:paraId="5B64B990" w14:textId="77777777" w:rsidR="00F66E2B" w:rsidRPr="00F66E2B" w:rsidRDefault="00F66E2B" w:rsidP="00F66E2B">
                  <w:pPr>
                    <w:rPr>
                      <w:rFonts w:ascii="Arial" w:eastAsia="Times New Roman" w:hAnsi="Arial" w:cs="Arial"/>
                    </w:rPr>
                  </w:pPr>
                  <w:r w:rsidRPr="00F66E2B">
                    <w:rPr>
                      <w:rFonts w:ascii="Arial" w:eastAsia="Times New Roman" w:hAnsi="Arial" w:cs="Arial"/>
                    </w:rPr>
                    <w:t>Monitor</w:t>
                  </w:r>
                </w:p>
              </w:tc>
            </w:tr>
            <w:tr w:rsidR="00F66E2B" w:rsidRPr="00F66E2B" w14:paraId="2103DD89" w14:textId="77777777" w:rsidTr="00BB3208">
              <w:tc>
                <w:tcPr>
                  <w:tcW w:w="6407" w:type="dxa"/>
                </w:tcPr>
                <w:p w14:paraId="398455FA" w14:textId="43E88039" w:rsidR="00F66E2B" w:rsidRPr="00F66E2B" w:rsidRDefault="00F66E2B" w:rsidP="00F66E2B">
                  <w:pPr>
                    <w:rPr>
                      <w:rFonts w:ascii="Arial" w:eastAsia="Times New Roman" w:hAnsi="Arial" w:cs="Arial"/>
                    </w:rPr>
                  </w:pPr>
                  <w:r w:rsidRPr="00F66E2B">
                    <w:rPr>
                      <w:rFonts w:ascii="Arial" w:eastAsia="Times New Roman" w:hAnsi="Arial" w:cs="Arial"/>
                    </w:rPr>
                    <w:t xml:space="preserve">White lines – The Narrows – Roebuck to Chicane </w:t>
                  </w:r>
                  <w:r w:rsidR="00631AC2" w:rsidRPr="00DC0207">
                    <w:rPr>
                      <w:rFonts w:ascii="Arial" w:eastAsia="Times New Roman" w:hAnsi="Arial" w:cs="Arial"/>
                    </w:rPr>
                    <w:t>–</w:t>
                  </w:r>
                  <w:r w:rsidRPr="00F66E2B">
                    <w:rPr>
                      <w:rFonts w:ascii="Arial" w:eastAsia="Times New Roman" w:hAnsi="Arial" w:cs="Arial"/>
                    </w:rPr>
                    <w:t xml:space="preserve"> 4255981</w:t>
                  </w:r>
                  <w:r w:rsidR="00631AC2" w:rsidRPr="00DC0207">
                    <w:rPr>
                      <w:rFonts w:ascii="Arial" w:eastAsia="Times New Roman" w:hAnsi="Arial" w:cs="Arial"/>
                    </w:rPr>
                    <w:t xml:space="preserve"> – update received from </w:t>
                  </w:r>
                  <w:proofErr w:type="spellStart"/>
                  <w:r w:rsidR="00631AC2" w:rsidRPr="00DC0207">
                    <w:rPr>
                      <w:rFonts w:ascii="Arial" w:eastAsia="Times New Roman" w:hAnsi="Arial" w:cs="Arial"/>
                    </w:rPr>
                    <w:t>Amey</w:t>
                  </w:r>
                  <w:proofErr w:type="spellEnd"/>
                  <w:r w:rsidR="00631AC2" w:rsidRPr="00DC0207">
                    <w:rPr>
                      <w:rFonts w:ascii="Arial" w:eastAsia="Times New Roman" w:hAnsi="Arial" w:cs="Arial"/>
                    </w:rPr>
                    <w:t xml:space="preserve"> – “</w:t>
                  </w:r>
                  <w:r w:rsidR="00631AC2" w:rsidRPr="00DC0207">
                    <w:rPr>
                      <w:rFonts w:ascii="Arial" w:hAnsi="Arial" w:cs="Arial"/>
                      <w:color w:val="333333"/>
                      <w:shd w:val="clear" w:color="auto" w:fill="FFFFFF"/>
                    </w:rPr>
                    <w:t>A highways officer has now considered your enquiry and added the following notes to your report:</w:t>
                  </w:r>
                  <w:r w:rsidR="00631AC2" w:rsidRPr="00DC0207">
                    <w:rPr>
                      <w:rFonts w:ascii="Arial" w:hAnsi="Arial" w:cs="Arial"/>
                      <w:color w:val="333333"/>
                    </w:rPr>
                    <w:br/>
                  </w:r>
                  <w:r w:rsidR="00631AC2" w:rsidRPr="00DC0207">
                    <w:rPr>
                      <w:rFonts w:ascii="Arial" w:hAnsi="Arial" w:cs="Arial"/>
                      <w:color w:val="333333"/>
                    </w:rPr>
                    <w:br/>
                  </w:r>
                  <w:r w:rsidR="00631AC2" w:rsidRPr="00DC0207">
                    <w:rPr>
                      <w:rFonts w:ascii="Arial" w:hAnsi="Arial" w:cs="Arial"/>
                      <w:color w:val="333333"/>
                      <w:shd w:val="clear" w:color="auto" w:fill="FFFFFF"/>
                    </w:rPr>
                    <w:t xml:space="preserve">We have inspected the location provided with your report and were not able to identify any defects posing a safety risk that require remedial works at this time. Although the area may show aesthetic signs of deterioration the County Council is not </w:t>
                  </w:r>
                  <w:proofErr w:type="gramStart"/>
                  <w:r w:rsidR="00631AC2" w:rsidRPr="00DC0207">
                    <w:rPr>
                      <w:rFonts w:ascii="Arial" w:hAnsi="Arial" w:cs="Arial"/>
                      <w:color w:val="333333"/>
                      <w:shd w:val="clear" w:color="auto" w:fill="FFFFFF"/>
                    </w:rPr>
                    <w:t>in a position</w:t>
                  </w:r>
                  <w:proofErr w:type="gramEnd"/>
                  <w:r w:rsidR="00631AC2" w:rsidRPr="00DC0207">
                    <w:rPr>
                      <w:rFonts w:ascii="Arial" w:hAnsi="Arial" w:cs="Arial"/>
                      <w:color w:val="333333"/>
                      <w:shd w:val="clear" w:color="auto" w:fill="FFFFFF"/>
                    </w:rPr>
                    <w:t xml:space="preserve"> to carry out works to address this. We will continue to monitor this site during routine safety inspections.</w:t>
                  </w:r>
                  <w:r w:rsidR="00631AC2" w:rsidRPr="00DC0207">
                    <w:rPr>
                      <w:rFonts w:ascii="Arial" w:hAnsi="Arial" w:cs="Arial"/>
                      <w:color w:val="333333"/>
                      <w:shd w:val="clear" w:color="auto" w:fill="FFFFFF"/>
                    </w:rPr>
                    <w:t>”</w:t>
                  </w:r>
                </w:p>
              </w:tc>
              <w:tc>
                <w:tcPr>
                  <w:tcW w:w="1209" w:type="dxa"/>
                </w:tcPr>
                <w:p w14:paraId="24E33050" w14:textId="77777777" w:rsidR="00F66E2B" w:rsidRPr="00F66E2B" w:rsidRDefault="00F66E2B" w:rsidP="00F66E2B">
                  <w:pPr>
                    <w:rPr>
                      <w:rFonts w:ascii="Arial" w:eastAsia="Times New Roman" w:hAnsi="Arial" w:cs="Arial"/>
                    </w:rPr>
                  </w:pPr>
                  <w:r w:rsidRPr="00F66E2B">
                    <w:rPr>
                      <w:rFonts w:ascii="Arial" w:eastAsia="Times New Roman" w:hAnsi="Arial" w:cs="Arial"/>
                    </w:rPr>
                    <w:t>23.09.21</w:t>
                  </w:r>
                </w:p>
              </w:tc>
              <w:tc>
                <w:tcPr>
                  <w:tcW w:w="1457" w:type="dxa"/>
                </w:tcPr>
                <w:p w14:paraId="3AC13465" w14:textId="77777777" w:rsidR="00F66E2B" w:rsidRPr="00F66E2B" w:rsidRDefault="00F66E2B" w:rsidP="00F66E2B">
                  <w:pPr>
                    <w:rPr>
                      <w:rFonts w:ascii="Arial" w:eastAsia="Times New Roman" w:hAnsi="Arial" w:cs="Arial"/>
                    </w:rPr>
                  </w:pPr>
                  <w:r w:rsidRPr="00F66E2B">
                    <w:rPr>
                      <w:rFonts w:ascii="Arial" w:eastAsia="Times New Roman" w:hAnsi="Arial" w:cs="Arial"/>
                    </w:rPr>
                    <w:t>Monitor</w:t>
                  </w:r>
                </w:p>
              </w:tc>
            </w:tr>
            <w:tr w:rsidR="00631AC2" w:rsidRPr="00DC0207" w14:paraId="6AE79AF8" w14:textId="77777777" w:rsidTr="00BB3208">
              <w:tc>
                <w:tcPr>
                  <w:tcW w:w="6407" w:type="dxa"/>
                </w:tcPr>
                <w:p w14:paraId="5DECB588" w14:textId="31EC00A4" w:rsidR="00631AC2" w:rsidRPr="00DC0207" w:rsidRDefault="00631AC2" w:rsidP="00F66E2B">
                  <w:pPr>
                    <w:rPr>
                      <w:rFonts w:ascii="Arial" w:eastAsia="Times New Roman" w:hAnsi="Arial" w:cs="Arial"/>
                    </w:rPr>
                  </w:pPr>
                  <w:r w:rsidRPr="00DC0207">
                    <w:rPr>
                      <w:rFonts w:ascii="Arial" w:eastAsia="Times New Roman" w:hAnsi="Arial" w:cs="Arial"/>
                    </w:rPr>
                    <w:lastRenderedPageBreak/>
                    <w:t xml:space="preserve">Hedges – Hill Farm and The Old Byer. Letter sent to both properties requesting the hedge cut back to the original </w:t>
                  </w:r>
                  <w:r w:rsidR="00DC0207" w:rsidRPr="00DC0207">
                    <w:rPr>
                      <w:rFonts w:ascii="Arial" w:eastAsia="Times New Roman" w:hAnsi="Arial" w:cs="Arial"/>
                    </w:rPr>
                    <w:t>boundary.</w:t>
                  </w:r>
                </w:p>
              </w:tc>
              <w:tc>
                <w:tcPr>
                  <w:tcW w:w="1209" w:type="dxa"/>
                </w:tcPr>
                <w:p w14:paraId="5CFD08D5" w14:textId="369470E8" w:rsidR="00631AC2" w:rsidRPr="00DC0207" w:rsidRDefault="00DC0207" w:rsidP="00F66E2B">
                  <w:pPr>
                    <w:rPr>
                      <w:rFonts w:ascii="Arial" w:eastAsia="Times New Roman" w:hAnsi="Arial" w:cs="Arial"/>
                    </w:rPr>
                  </w:pPr>
                  <w:r w:rsidRPr="00DC0207">
                    <w:rPr>
                      <w:rFonts w:ascii="Arial" w:eastAsia="Times New Roman" w:hAnsi="Arial" w:cs="Arial"/>
                    </w:rPr>
                    <w:t>22.09.21</w:t>
                  </w:r>
                </w:p>
              </w:tc>
              <w:tc>
                <w:tcPr>
                  <w:tcW w:w="1457" w:type="dxa"/>
                </w:tcPr>
                <w:p w14:paraId="7248B8D4" w14:textId="4399E152" w:rsidR="00631AC2" w:rsidRPr="00DC0207" w:rsidRDefault="00DC0207" w:rsidP="00F66E2B">
                  <w:pPr>
                    <w:rPr>
                      <w:rFonts w:ascii="Arial" w:eastAsia="Times New Roman" w:hAnsi="Arial" w:cs="Arial"/>
                    </w:rPr>
                  </w:pPr>
                  <w:r w:rsidRPr="00DC0207">
                    <w:rPr>
                      <w:rFonts w:ascii="Arial" w:eastAsia="Times New Roman" w:hAnsi="Arial" w:cs="Arial"/>
                    </w:rPr>
                    <w:t>Monitor</w:t>
                  </w:r>
                </w:p>
              </w:tc>
            </w:tr>
          </w:tbl>
          <w:p w14:paraId="2C569841" w14:textId="77777777" w:rsidR="00F66E2B" w:rsidRPr="00F66E2B" w:rsidRDefault="00F66E2B" w:rsidP="00F66E2B">
            <w:pPr>
              <w:spacing w:after="0" w:line="240" w:lineRule="auto"/>
              <w:ind w:left="720" w:hanging="720"/>
              <w:outlineLvl w:val="2"/>
              <w:rPr>
                <w:rFonts w:ascii="Arial" w:eastAsia="Times New Roman" w:hAnsi="Arial" w:cs="Arial"/>
                <w:sz w:val="24"/>
                <w:szCs w:val="24"/>
              </w:rPr>
            </w:pPr>
          </w:p>
        </w:tc>
      </w:tr>
    </w:tbl>
    <w:p w14:paraId="41530A6E" w14:textId="29C3FE8C" w:rsidR="00F66E2B" w:rsidRPr="00DC0207" w:rsidRDefault="00F66E2B">
      <w:pPr>
        <w:rPr>
          <w:rFonts w:ascii="Arial" w:hAnsi="Arial" w:cs="Arial"/>
        </w:rPr>
      </w:pPr>
    </w:p>
    <w:p w14:paraId="5F08F981" w14:textId="5D618329" w:rsidR="00F66E2B" w:rsidRPr="001148DD" w:rsidRDefault="00DC0207">
      <w:pPr>
        <w:rPr>
          <w:rFonts w:ascii="Arial" w:hAnsi="Arial" w:cs="Arial"/>
          <w:b/>
          <w:bCs/>
          <w:u w:val="single"/>
        </w:rPr>
      </w:pPr>
      <w:r w:rsidRPr="001148DD">
        <w:rPr>
          <w:rFonts w:ascii="Arial" w:hAnsi="Arial" w:cs="Arial"/>
          <w:b/>
          <w:bCs/>
          <w:u w:val="single"/>
        </w:rPr>
        <w:t>Item 15 Finance</w:t>
      </w:r>
    </w:p>
    <w:p w14:paraId="00F19FA1" w14:textId="1B3A2CA7" w:rsidR="00DC0207" w:rsidRPr="00DC0207" w:rsidRDefault="00DC0207" w:rsidP="00DC0207">
      <w:pPr>
        <w:pStyle w:val="ListParagraph"/>
        <w:numPr>
          <w:ilvl w:val="0"/>
          <w:numId w:val="1"/>
        </w:numPr>
        <w:rPr>
          <w:rFonts w:ascii="Arial" w:hAnsi="Arial" w:cs="Arial"/>
        </w:rPr>
      </w:pPr>
      <w:r w:rsidRPr="00DC0207">
        <w:rPr>
          <w:rFonts w:ascii="Arial" w:hAnsi="Arial" w:cs="Arial"/>
        </w:rPr>
        <w:t xml:space="preserve">Payment </w:t>
      </w:r>
      <w:r w:rsidR="001148DD" w:rsidRPr="00DC0207">
        <w:rPr>
          <w:rFonts w:ascii="Arial" w:hAnsi="Arial" w:cs="Arial"/>
        </w:rPr>
        <w:t>Approval</w:t>
      </w:r>
    </w:p>
    <w:p w14:paraId="62C0F6C2" w14:textId="78B7757B" w:rsidR="00DC0207" w:rsidRPr="00DC0207" w:rsidRDefault="00DC0207" w:rsidP="00DC0207">
      <w:pPr>
        <w:rPr>
          <w:rFonts w:ascii="Arial" w:hAnsi="Arial" w:cs="Arial"/>
        </w:rPr>
      </w:pPr>
      <w:r w:rsidRPr="00DC0207">
        <w:rPr>
          <w:rFonts w:ascii="Arial" w:hAnsi="Arial" w:cs="Arial"/>
        </w:rPr>
        <w:drawing>
          <wp:inline distT="0" distB="0" distL="0" distR="0" wp14:anchorId="7379ACCA" wp14:editId="01EBD811">
            <wp:extent cx="52578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0" cy="1171575"/>
                    </a:xfrm>
                    <a:prstGeom prst="rect">
                      <a:avLst/>
                    </a:prstGeom>
                    <a:noFill/>
                    <a:ln>
                      <a:noFill/>
                    </a:ln>
                  </pic:spPr>
                </pic:pic>
              </a:graphicData>
            </a:graphic>
          </wp:inline>
        </w:drawing>
      </w:r>
    </w:p>
    <w:p w14:paraId="3122EDDD" w14:textId="0DD49B6D" w:rsidR="00DC0207" w:rsidRPr="00DC0207" w:rsidRDefault="00DC0207" w:rsidP="00DC0207">
      <w:pPr>
        <w:pStyle w:val="ListParagraph"/>
        <w:numPr>
          <w:ilvl w:val="0"/>
          <w:numId w:val="1"/>
        </w:numPr>
        <w:rPr>
          <w:rFonts w:ascii="Arial" w:hAnsi="Arial" w:cs="Arial"/>
        </w:rPr>
      </w:pPr>
      <w:r w:rsidRPr="00DC0207">
        <w:rPr>
          <w:rFonts w:ascii="Arial" w:hAnsi="Arial" w:cs="Arial"/>
        </w:rPr>
        <w:t>Budget against performance page 2</w:t>
      </w:r>
    </w:p>
    <w:p w14:paraId="305B62CA" w14:textId="0835F269" w:rsidR="00DC0207" w:rsidRPr="00DC0207" w:rsidRDefault="00DC0207" w:rsidP="00DC0207">
      <w:pPr>
        <w:pStyle w:val="ListParagraph"/>
        <w:numPr>
          <w:ilvl w:val="0"/>
          <w:numId w:val="1"/>
        </w:numPr>
        <w:rPr>
          <w:rFonts w:ascii="Arial" w:hAnsi="Arial" w:cs="Arial"/>
        </w:rPr>
      </w:pPr>
      <w:r w:rsidRPr="00DC0207">
        <w:rPr>
          <w:rFonts w:ascii="Arial" w:hAnsi="Arial" w:cs="Arial"/>
        </w:rPr>
        <w:t>Bank reconciliation page 3</w:t>
      </w:r>
    </w:p>
    <w:p w14:paraId="18A159EC" w14:textId="341DEB39" w:rsidR="00DC0207" w:rsidRPr="00DC0207" w:rsidRDefault="00DC0207" w:rsidP="00DC0207">
      <w:pPr>
        <w:pStyle w:val="ListParagraph"/>
        <w:numPr>
          <w:ilvl w:val="0"/>
          <w:numId w:val="1"/>
        </w:numPr>
        <w:rPr>
          <w:rFonts w:ascii="Arial" w:hAnsi="Arial" w:cs="Arial"/>
        </w:rPr>
      </w:pPr>
      <w:r w:rsidRPr="00DC0207">
        <w:rPr>
          <w:rFonts w:ascii="Arial" w:hAnsi="Arial" w:cs="Arial"/>
        </w:rPr>
        <w:t>Draft Budget 2022/23 page 4</w:t>
      </w:r>
    </w:p>
    <w:p w14:paraId="7AD5CBA3" w14:textId="76F21590" w:rsidR="00DC0207" w:rsidRDefault="00DC0207" w:rsidP="00DC0207">
      <w:pPr>
        <w:pStyle w:val="ListParagraph"/>
      </w:pPr>
    </w:p>
    <w:p w14:paraId="40321E23" w14:textId="5DBB030C" w:rsidR="00DC0207" w:rsidRDefault="00DC0207" w:rsidP="00DC0207">
      <w:pPr>
        <w:pStyle w:val="ListParagraph"/>
      </w:pPr>
    </w:p>
    <w:p w14:paraId="6A70D77F" w14:textId="060811CF" w:rsidR="00DC0207" w:rsidRDefault="00DC0207" w:rsidP="00DC0207">
      <w:pPr>
        <w:pStyle w:val="ListParagraph"/>
      </w:pPr>
    </w:p>
    <w:p w14:paraId="7E9FF089" w14:textId="58DBBCC4" w:rsidR="00DC0207" w:rsidRDefault="00DC0207" w:rsidP="00DC0207">
      <w:pPr>
        <w:pStyle w:val="ListParagraph"/>
      </w:pPr>
    </w:p>
    <w:p w14:paraId="00E594EE" w14:textId="028F2D41" w:rsidR="00DC0207" w:rsidRDefault="00DC0207" w:rsidP="00DC0207">
      <w:pPr>
        <w:pStyle w:val="ListParagraph"/>
      </w:pPr>
    </w:p>
    <w:p w14:paraId="49C7D255" w14:textId="11DCE34E" w:rsidR="00DC0207" w:rsidRDefault="00DC0207" w:rsidP="00DC0207">
      <w:pPr>
        <w:pStyle w:val="ListParagraph"/>
      </w:pPr>
    </w:p>
    <w:p w14:paraId="6208D916" w14:textId="087D1236" w:rsidR="00DC0207" w:rsidRDefault="00DC0207" w:rsidP="00DC0207">
      <w:pPr>
        <w:pStyle w:val="ListParagraph"/>
      </w:pPr>
    </w:p>
    <w:p w14:paraId="413066B4" w14:textId="78E0CCFF" w:rsidR="00DC0207" w:rsidRDefault="00DC0207" w:rsidP="00DC0207">
      <w:pPr>
        <w:pStyle w:val="ListParagraph"/>
      </w:pPr>
    </w:p>
    <w:p w14:paraId="63254906" w14:textId="286F44B9" w:rsidR="00DC0207" w:rsidRDefault="00DC0207" w:rsidP="00DC0207">
      <w:pPr>
        <w:pStyle w:val="ListParagraph"/>
      </w:pPr>
    </w:p>
    <w:p w14:paraId="4FAC2301" w14:textId="19C7C73D" w:rsidR="00DC0207" w:rsidRDefault="00DC0207" w:rsidP="00DC0207">
      <w:pPr>
        <w:pStyle w:val="ListParagraph"/>
      </w:pPr>
    </w:p>
    <w:p w14:paraId="20333BE4" w14:textId="688D4D4D" w:rsidR="00DC0207" w:rsidRDefault="00DC0207" w:rsidP="00DC0207">
      <w:pPr>
        <w:pStyle w:val="ListParagraph"/>
      </w:pPr>
    </w:p>
    <w:p w14:paraId="0FDB7B03" w14:textId="720AD51D" w:rsidR="00DC0207" w:rsidRDefault="00DC0207" w:rsidP="00DC0207">
      <w:pPr>
        <w:pStyle w:val="ListParagraph"/>
      </w:pPr>
    </w:p>
    <w:p w14:paraId="249EAE20" w14:textId="768ACD60" w:rsidR="00DC0207" w:rsidRDefault="00DC0207" w:rsidP="00DC0207">
      <w:pPr>
        <w:pStyle w:val="ListParagraph"/>
      </w:pPr>
    </w:p>
    <w:p w14:paraId="45F5CE37" w14:textId="01F4F504" w:rsidR="00DC0207" w:rsidRDefault="00DC0207" w:rsidP="00DC0207">
      <w:pPr>
        <w:pStyle w:val="ListParagraph"/>
      </w:pPr>
    </w:p>
    <w:p w14:paraId="2D68568C" w14:textId="16CD0644" w:rsidR="00DC0207" w:rsidRDefault="00DC0207" w:rsidP="00DC0207">
      <w:pPr>
        <w:pStyle w:val="ListParagraph"/>
      </w:pPr>
    </w:p>
    <w:p w14:paraId="52761B2B" w14:textId="17FD30DE" w:rsidR="00DC0207" w:rsidRDefault="00DC0207" w:rsidP="00DC0207">
      <w:pPr>
        <w:pStyle w:val="ListParagraph"/>
      </w:pPr>
    </w:p>
    <w:p w14:paraId="67486BDE" w14:textId="605F1ED4" w:rsidR="00DC0207" w:rsidRDefault="00DC0207" w:rsidP="00DC0207">
      <w:pPr>
        <w:pStyle w:val="ListParagraph"/>
      </w:pPr>
    </w:p>
    <w:p w14:paraId="3C2E9C88" w14:textId="6337EE5D" w:rsidR="00DC0207" w:rsidRDefault="00DC0207" w:rsidP="00DC0207">
      <w:pPr>
        <w:pStyle w:val="ListParagraph"/>
      </w:pPr>
    </w:p>
    <w:p w14:paraId="73C04145" w14:textId="3194EBF4" w:rsidR="00DC0207" w:rsidRDefault="00DC0207" w:rsidP="00DC0207">
      <w:pPr>
        <w:pStyle w:val="ListParagraph"/>
      </w:pPr>
    </w:p>
    <w:p w14:paraId="392CBB18" w14:textId="04125E31" w:rsidR="00DC0207" w:rsidRDefault="00DC0207" w:rsidP="00DC0207">
      <w:pPr>
        <w:pStyle w:val="ListParagraph"/>
      </w:pPr>
    </w:p>
    <w:p w14:paraId="4FB42271" w14:textId="4C9A1C12" w:rsidR="00DC0207" w:rsidRDefault="00DC0207" w:rsidP="00DC0207">
      <w:pPr>
        <w:pStyle w:val="ListParagraph"/>
      </w:pPr>
    </w:p>
    <w:p w14:paraId="4F33C245" w14:textId="0FB0A1D8" w:rsidR="00DC0207" w:rsidRDefault="00DC0207" w:rsidP="00DC0207">
      <w:pPr>
        <w:pStyle w:val="ListParagraph"/>
      </w:pPr>
    </w:p>
    <w:p w14:paraId="063D879B" w14:textId="0187F844" w:rsidR="00DC0207" w:rsidRDefault="00DC0207" w:rsidP="00DC0207">
      <w:pPr>
        <w:pStyle w:val="ListParagraph"/>
      </w:pPr>
    </w:p>
    <w:p w14:paraId="584BE998" w14:textId="734D6274" w:rsidR="00DC0207" w:rsidRDefault="00DC0207" w:rsidP="00DC0207">
      <w:pPr>
        <w:pStyle w:val="ListParagraph"/>
      </w:pPr>
    </w:p>
    <w:p w14:paraId="7AC6F991" w14:textId="3E613293" w:rsidR="00DC0207" w:rsidRDefault="00DC0207" w:rsidP="00DC0207">
      <w:pPr>
        <w:pStyle w:val="ListParagraph"/>
      </w:pPr>
    </w:p>
    <w:p w14:paraId="31DE17D5" w14:textId="30450578" w:rsidR="00DC0207" w:rsidRDefault="00DC0207" w:rsidP="00DC0207">
      <w:pPr>
        <w:pStyle w:val="ListParagraph"/>
      </w:pPr>
    </w:p>
    <w:p w14:paraId="62EFA42F" w14:textId="1E7A85E1" w:rsidR="00DC0207" w:rsidRDefault="00DC0207" w:rsidP="00DC0207">
      <w:pPr>
        <w:pStyle w:val="ListParagraph"/>
      </w:pPr>
    </w:p>
    <w:p w14:paraId="5D6EC44E" w14:textId="7D6DCDAF" w:rsidR="00DC0207" w:rsidRDefault="00DC0207" w:rsidP="00DC0207">
      <w:pPr>
        <w:pStyle w:val="ListParagraph"/>
      </w:pPr>
    </w:p>
    <w:p w14:paraId="78789B3F" w14:textId="45E8B6A6" w:rsidR="00DC0207" w:rsidRDefault="00DC0207" w:rsidP="00DC0207">
      <w:pPr>
        <w:pStyle w:val="ListParagraph"/>
      </w:pPr>
    </w:p>
    <w:p w14:paraId="4DD49774" w14:textId="77777777" w:rsidR="00DC0207" w:rsidRDefault="00DC0207" w:rsidP="00DC0207">
      <w:pPr>
        <w:pStyle w:val="ListParagraph"/>
        <w:sectPr w:rsidR="00DC0207">
          <w:pgSz w:w="11906" w:h="16838"/>
          <w:pgMar w:top="1440" w:right="1440" w:bottom="1440" w:left="1440" w:header="708" w:footer="708" w:gutter="0"/>
          <w:cols w:space="708"/>
          <w:docGrid w:linePitch="360"/>
        </w:sectPr>
      </w:pPr>
    </w:p>
    <w:p w14:paraId="3F76E464" w14:textId="51B91836" w:rsidR="00DC0207" w:rsidRDefault="00DC0207" w:rsidP="00DC0207">
      <w:pPr>
        <w:pStyle w:val="ListParagraph"/>
      </w:pPr>
      <w:r w:rsidRPr="00DC0207">
        <w:lastRenderedPageBreak/>
        <w:drawing>
          <wp:inline distT="0" distB="0" distL="0" distR="0" wp14:anchorId="77D0699B" wp14:editId="1E5EC7FE">
            <wp:extent cx="9324975" cy="6705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4975" cy="6705600"/>
                    </a:xfrm>
                    <a:prstGeom prst="rect">
                      <a:avLst/>
                    </a:prstGeom>
                    <a:noFill/>
                    <a:ln>
                      <a:noFill/>
                    </a:ln>
                  </pic:spPr>
                </pic:pic>
              </a:graphicData>
            </a:graphic>
          </wp:inline>
        </w:drawing>
      </w:r>
    </w:p>
    <w:p w14:paraId="36106A8C" w14:textId="77777777" w:rsidR="00DC0207" w:rsidRDefault="00DC0207" w:rsidP="00DC0207">
      <w:pPr>
        <w:pStyle w:val="ListParagraph"/>
        <w:sectPr w:rsidR="00DC0207" w:rsidSect="00DC0207">
          <w:pgSz w:w="16838" w:h="11906" w:orient="landscape"/>
          <w:pgMar w:top="284" w:right="284" w:bottom="284" w:left="284" w:header="709" w:footer="709" w:gutter="0"/>
          <w:cols w:space="708"/>
          <w:docGrid w:linePitch="360"/>
        </w:sectPr>
      </w:pPr>
    </w:p>
    <w:p w14:paraId="44E2B7B1" w14:textId="3257E937" w:rsidR="00DC0207" w:rsidRPr="001148DD" w:rsidRDefault="00DC0207" w:rsidP="00DC0207">
      <w:pPr>
        <w:pStyle w:val="ListParagraph"/>
        <w:rPr>
          <w:b/>
          <w:bCs/>
          <w:u w:val="single"/>
        </w:rPr>
      </w:pPr>
      <w:r w:rsidRPr="001148DD">
        <w:rPr>
          <w:b/>
          <w:bCs/>
          <w:u w:val="single"/>
        </w:rPr>
        <w:lastRenderedPageBreak/>
        <w:t>Bank reconciliation as at 20.10.21</w:t>
      </w:r>
    </w:p>
    <w:p w14:paraId="719AA37E" w14:textId="547F01AC" w:rsidR="00DC0207" w:rsidRDefault="00DC0207" w:rsidP="00DC0207">
      <w:pPr>
        <w:pStyle w:val="ListParagraph"/>
      </w:pPr>
    </w:p>
    <w:p w14:paraId="277008B7" w14:textId="01367C20" w:rsidR="00DC0207" w:rsidRDefault="00DC0207" w:rsidP="00DC0207">
      <w:pPr>
        <w:pStyle w:val="ListParagraph"/>
      </w:pPr>
      <w:r>
        <w:t>Balance as per statement</w:t>
      </w:r>
      <w:r>
        <w:tab/>
      </w:r>
      <w:r>
        <w:tab/>
      </w:r>
      <w:r>
        <w:tab/>
      </w:r>
      <w:r>
        <w:tab/>
      </w:r>
      <w:r>
        <w:tab/>
        <w:t>£23,492.85</w:t>
      </w:r>
    </w:p>
    <w:p w14:paraId="224490A6" w14:textId="3B6DEC8C" w:rsidR="00DC0207" w:rsidRDefault="00DC0207" w:rsidP="00DC0207">
      <w:pPr>
        <w:pStyle w:val="ListParagraph"/>
      </w:pPr>
    </w:p>
    <w:p w14:paraId="03189DB4" w14:textId="078C1DC3" w:rsidR="00DC0207" w:rsidRDefault="00DC0207" w:rsidP="00DC0207">
      <w:pPr>
        <w:pStyle w:val="ListParagraph"/>
      </w:pPr>
      <w:r>
        <w:t>Less payments</w:t>
      </w:r>
      <w:r>
        <w:tab/>
      </w:r>
      <w:r>
        <w:tab/>
      </w:r>
      <w:r>
        <w:tab/>
      </w:r>
      <w:r>
        <w:tab/>
      </w:r>
      <w:r>
        <w:tab/>
      </w:r>
      <w:r>
        <w:tab/>
      </w:r>
      <w:r>
        <w:tab/>
        <w:t>£</w:t>
      </w:r>
      <w:r w:rsidR="001148DD">
        <w:t>280.00</w:t>
      </w:r>
    </w:p>
    <w:p w14:paraId="255E71CC" w14:textId="33405C2D" w:rsidR="001148DD" w:rsidRDefault="001148DD" w:rsidP="00DC0207">
      <w:pPr>
        <w:pStyle w:val="ListParagraph"/>
      </w:pPr>
    </w:p>
    <w:p w14:paraId="471D059C" w14:textId="5DF06405" w:rsidR="001148DD" w:rsidRDefault="001148DD" w:rsidP="00DC0207">
      <w:pPr>
        <w:pStyle w:val="ListParagraph"/>
      </w:pPr>
      <w:r>
        <w:t>Balance as per cashbook</w:t>
      </w:r>
      <w:r>
        <w:tab/>
      </w:r>
      <w:r>
        <w:tab/>
      </w:r>
      <w:r>
        <w:tab/>
      </w:r>
      <w:r>
        <w:tab/>
      </w:r>
      <w:r>
        <w:tab/>
        <w:t>£23,212.85</w:t>
      </w:r>
    </w:p>
    <w:p w14:paraId="6A39ED47" w14:textId="4B50B859" w:rsidR="001148DD" w:rsidRDefault="001148DD" w:rsidP="00DC0207">
      <w:pPr>
        <w:pStyle w:val="ListParagraph"/>
      </w:pPr>
    </w:p>
    <w:p w14:paraId="72BD1C53" w14:textId="5027E41F" w:rsidR="001148DD" w:rsidRDefault="001148DD" w:rsidP="00DC0207">
      <w:pPr>
        <w:pStyle w:val="ListParagraph"/>
      </w:pPr>
      <w:r w:rsidRPr="001148DD">
        <w:drawing>
          <wp:inline distT="0" distB="0" distL="0" distR="0" wp14:anchorId="3F9DCEB6" wp14:editId="58B78A52">
            <wp:extent cx="9572625" cy="552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72625" cy="552450"/>
                    </a:xfrm>
                    <a:prstGeom prst="rect">
                      <a:avLst/>
                    </a:prstGeom>
                    <a:noFill/>
                    <a:ln>
                      <a:noFill/>
                    </a:ln>
                  </pic:spPr>
                </pic:pic>
              </a:graphicData>
            </a:graphic>
          </wp:inline>
        </w:drawing>
      </w:r>
    </w:p>
    <w:p w14:paraId="25675B0C" w14:textId="5AF7CA09" w:rsidR="001148DD" w:rsidRDefault="001148DD" w:rsidP="00DC0207">
      <w:pPr>
        <w:pStyle w:val="ListParagraph"/>
      </w:pPr>
    </w:p>
    <w:p w14:paraId="6F0EB028" w14:textId="2CBC43C7" w:rsidR="001148DD" w:rsidRDefault="001148DD" w:rsidP="00DC0207">
      <w:pPr>
        <w:pStyle w:val="ListParagraph"/>
      </w:pPr>
      <w:r>
        <w:rPr>
          <w:noProof/>
        </w:rPr>
        <w:drawing>
          <wp:inline distT="0" distB="0" distL="0" distR="0" wp14:anchorId="21A728ED" wp14:editId="30D9C08A">
            <wp:extent cx="7048500" cy="2838450"/>
            <wp:effectExtent l="0" t="0" r="0" b="0"/>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8"/>
                    <a:stretch>
                      <a:fillRect/>
                    </a:stretch>
                  </pic:blipFill>
                  <pic:spPr>
                    <a:xfrm>
                      <a:off x="0" y="0"/>
                      <a:ext cx="7048500" cy="2838450"/>
                    </a:xfrm>
                    <a:prstGeom prst="rect">
                      <a:avLst/>
                    </a:prstGeom>
                  </pic:spPr>
                </pic:pic>
              </a:graphicData>
            </a:graphic>
          </wp:inline>
        </w:drawing>
      </w:r>
    </w:p>
    <w:p w14:paraId="4D80F45F" w14:textId="5A64CFC3" w:rsidR="001148DD" w:rsidRDefault="001148DD" w:rsidP="00DC0207">
      <w:pPr>
        <w:pStyle w:val="ListParagraph"/>
      </w:pPr>
    </w:p>
    <w:p w14:paraId="688356E9" w14:textId="11AA1824" w:rsidR="001148DD" w:rsidRDefault="001148DD" w:rsidP="00DC0207">
      <w:pPr>
        <w:pStyle w:val="ListParagraph"/>
      </w:pPr>
    </w:p>
    <w:p w14:paraId="456CDB58" w14:textId="7C2796A2" w:rsidR="001148DD" w:rsidRDefault="001148DD" w:rsidP="00DC0207">
      <w:pPr>
        <w:pStyle w:val="ListParagraph"/>
      </w:pPr>
    </w:p>
    <w:p w14:paraId="15CAB2A0" w14:textId="1C335BA6" w:rsidR="001148DD" w:rsidRDefault="001148DD" w:rsidP="00DC0207">
      <w:pPr>
        <w:pStyle w:val="ListParagraph"/>
      </w:pPr>
    </w:p>
    <w:p w14:paraId="794FB9A1" w14:textId="02915CE3" w:rsidR="001148DD" w:rsidRDefault="001148DD" w:rsidP="00DC0207">
      <w:pPr>
        <w:pStyle w:val="ListParagraph"/>
      </w:pPr>
    </w:p>
    <w:p w14:paraId="1DA52CA2" w14:textId="64AE1739" w:rsidR="001148DD" w:rsidRDefault="001148DD" w:rsidP="00DC0207">
      <w:pPr>
        <w:pStyle w:val="ListParagraph"/>
      </w:pPr>
    </w:p>
    <w:p w14:paraId="05BDC46C" w14:textId="5C250720" w:rsidR="001148DD" w:rsidRDefault="001148DD" w:rsidP="00DC0207">
      <w:pPr>
        <w:pStyle w:val="ListParagraph"/>
      </w:pPr>
    </w:p>
    <w:p w14:paraId="138F30B1" w14:textId="774BB683" w:rsidR="001148DD" w:rsidRDefault="001148DD" w:rsidP="00DC0207">
      <w:pPr>
        <w:pStyle w:val="ListParagraph"/>
      </w:pPr>
    </w:p>
    <w:p w14:paraId="3AFD46F5" w14:textId="77777777" w:rsidR="001148DD" w:rsidRDefault="001148DD" w:rsidP="00DC0207">
      <w:pPr>
        <w:pStyle w:val="ListParagraph"/>
        <w:sectPr w:rsidR="001148DD" w:rsidSect="00DC0207">
          <w:pgSz w:w="16838" w:h="11906" w:orient="landscape"/>
          <w:pgMar w:top="567" w:right="284" w:bottom="284" w:left="284" w:header="709" w:footer="709" w:gutter="0"/>
          <w:cols w:space="708"/>
          <w:docGrid w:linePitch="360"/>
        </w:sectPr>
      </w:pPr>
    </w:p>
    <w:p w14:paraId="2EA5B2FB" w14:textId="1BDC9C31" w:rsidR="001148DD" w:rsidRDefault="001148DD" w:rsidP="00DC0207">
      <w:pPr>
        <w:pStyle w:val="ListParagraph"/>
      </w:pPr>
      <w:r w:rsidRPr="001148DD">
        <w:lastRenderedPageBreak/>
        <w:drawing>
          <wp:inline distT="0" distB="0" distL="0" distR="0" wp14:anchorId="73A90700" wp14:editId="5AC03C78">
            <wp:extent cx="9530080" cy="69227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30080" cy="6922770"/>
                    </a:xfrm>
                    <a:prstGeom prst="rect">
                      <a:avLst/>
                    </a:prstGeom>
                    <a:noFill/>
                    <a:ln>
                      <a:noFill/>
                    </a:ln>
                  </pic:spPr>
                </pic:pic>
              </a:graphicData>
            </a:graphic>
          </wp:inline>
        </w:drawing>
      </w:r>
    </w:p>
    <w:sectPr w:rsidR="001148DD" w:rsidSect="001148DD">
      <w:pgSz w:w="16838" w:h="11906" w:orient="landscape"/>
      <w:pgMar w:top="284" w:right="113" w:bottom="720" w:left="11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0170E"/>
    <w:multiLevelType w:val="hybridMultilevel"/>
    <w:tmpl w:val="7396DE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2B"/>
    <w:rsid w:val="001148DD"/>
    <w:rsid w:val="00631AC2"/>
    <w:rsid w:val="008D1007"/>
    <w:rsid w:val="00DC0207"/>
    <w:rsid w:val="00F66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1AFC"/>
  <w15:chartTrackingRefBased/>
  <w15:docId w15:val="{67A694E8-DFE5-4906-8B56-E933A9C3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631A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31AC2"/>
    <w:rPr>
      <w:color w:val="0000FF"/>
      <w:u w:val="single"/>
    </w:rPr>
  </w:style>
  <w:style w:type="paragraph" w:styleId="ListParagraph">
    <w:name w:val="List Paragraph"/>
    <w:basedOn w:val="Normal"/>
    <w:uiPriority w:val="34"/>
    <w:qFormat/>
    <w:rsid w:val="00DC0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Doxey Clerk</dc:creator>
  <cp:keywords/>
  <dc:description/>
  <cp:lastModifiedBy>Doxey Clerk</cp:lastModifiedBy>
  <cp:revision>1</cp:revision>
  <dcterms:created xsi:type="dcterms:W3CDTF">2021-10-20T10:08:00Z</dcterms:created>
  <dcterms:modified xsi:type="dcterms:W3CDTF">2021-10-20T10:48:00Z</dcterms:modified>
</cp:coreProperties>
</file>